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left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pict>
          <v:shape id="图片 1" o:spid="_x0000_s1026" type="#_x0000_t75" style="height:275.95pt;width:414.7pt;rotation:0f;" o:ole="f" fillcolor="#FFFFFF" filled="f" o:preferrelative="t" stroked="f" coordorigin="0,0" coordsize="21600,21600">
            <v:fill on="f" color2="#FFFFFF" focus="0%"/>
            <v:imagedata gain="65536f" blacklevel="0f" gamma="0" o:title="_8290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jc w:val="left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pict>
          <v:shape id="图片 2" o:spid="_x0000_s1027" type="#_x0000_t75" style="height:275.95pt;width:414.7pt;rotation:0f;" o:ole="f" fillcolor="#FFFFFF" filled="f" o:preferrelative="t" stroked="f" coordorigin="0,0" coordsize="21600,21600">
            <v:fill on="f" color2="#FFFFFF" focus="0%"/>
            <v:imagedata gain="65536f" blacklevel="0f" gamma="0" o:title="_8290-3" r:id="rId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jc w:val="left"/>
        <w:rPr>
          <w:rFonts w:hint="eastAsia" w:ascii="宋体" w:hAnsi="宋体" w:eastAsia="宋体" w:cs="宋体"/>
          <w:kern w:val="0"/>
          <w:szCs w:val="21"/>
          <w:lang w:eastAsia="zh-CN"/>
        </w:rPr>
      </w:pPr>
    </w:p>
    <w:p>
      <w:pPr>
        <w:widowControl/>
        <w:jc w:val="center"/>
        <w:rPr>
          <w:rFonts w:hint="eastAsia" w:ascii="宋体" w:hAnsi="宋体" w:eastAsia="宋体" w:cs="宋体"/>
          <w:kern w:val="0"/>
          <w:szCs w:val="21"/>
          <w:lang w:val="en-US" w:eastAsia="zh-CN"/>
        </w:rPr>
      </w:pPr>
      <w:bookmarkStart w:id="0" w:name="_GoBack"/>
      <w:bookmarkEnd w:id="0"/>
    </w:p>
    <w:p>
      <w:pPr>
        <w:widowControl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JT-8290具有多协议兼容、读取速率快、防水型外观设计, 满足苛刻工作环境要求，全面支持符合ISO-18000-6C（EPC G2）、ISO-18000-6B电子标签；可稳定读取25m(与标签及环境相关)。</w:t>
      </w:r>
    </w:p>
    <w:p>
      <w:pPr>
        <w:widowControl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  </w:t>
      </w:r>
    </w:p>
    <w:p>
      <w:pPr>
        <w:widowControl/>
        <w:jc w:val="left"/>
        <w:rPr>
          <w:rFonts w:hint="eastAsia" w:ascii="宋体" w:hAnsi="宋体" w:cs="宋体"/>
          <w:color w:val="FF0000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应用场合：</w:t>
      </w:r>
      <w:r>
        <w:rPr>
          <w:rFonts w:hint="eastAsia" w:ascii="宋体" w:hAnsi="宋体" w:cs="宋体"/>
          <w:color w:val="FF0000"/>
          <w:kern w:val="0"/>
          <w:szCs w:val="21"/>
        </w:rPr>
        <w:t xml:space="preserve"> </w:t>
      </w:r>
    </w:p>
    <w:tbl>
      <w:tblPr>
        <w:tblStyle w:val="5"/>
        <w:tblW w:w="76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6" w:hRule="atLeast"/>
        </w:trPr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ind w:firstLine="420" w:firstLineChars="200"/>
              <w:jc w:val="left"/>
              <w:textAlignment w:val="top"/>
              <w:rPr>
                <w:rFonts w:ascii="Wingdings" w:hAnsi="Wingdings" w:cs="Wingdings"/>
                <w:color w:val="000000"/>
                <w:kern w:val="0"/>
                <w:szCs w:val="21"/>
              </w:rPr>
            </w:pPr>
            <w:r>
              <w:rPr>
                <w:rFonts w:ascii="Wingdings" w:hAnsi="Wingdings" w:cs="Wingdings"/>
                <w:color w:val="000000"/>
                <w:kern w:val="0"/>
                <w:szCs w:val="21"/>
              </w:rPr>
              <w:t></w:t>
            </w:r>
            <w:r>
              <w:rPr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运输车辆管理：对机动车辆和集装箱运输的监控与管理。</w:t>
            </w:r>
          </w:p>
          <w:p>
            <w:pPr>
              <w:widowControl/>
              <w:ind w:firstLine="420" w:firstLineChars="200"/>
              <w:jc w:val="left"/>
              <w:textAlignment w:val="top"/>
              <w:rPr>
                <w:rFonts w:ascii="Wingdings" w:hAnsi="Wingdings" w:cs="Wingdings"/>
                <w:color w:val="000000"/>
                <w:szCs w:val="21"/>
              </w:rPr>
            </w:pPr>
            <w:r>
              <w:rPr>
                <w:rFonts w:ascii="Wingdings" w:hAnsi="Wingdings" w:cs="Wingdings"/>
                <w:color w:val="000000"/>
                <w:kern w:val="0"/>
                <w:szCs w:val="21"/>
              </w:rPr>
              <w:t></w:t>
            </w:r>
            <w:r>
              <w:rPr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海关通关管理：海关通关、转关的物资管理。</w:t>
            </w:r>
          </w:p>
          <w:p>
            <w:pPr>
              <w:widowControl/>
              <w:ind w:firstLine="420" w:firstLineChars="200"/>
              <w:jc w:val="left"/>
              <w:textAlignment w:val="top"/>
              <w:rPr>
                <w:rFonts w:ascii="Wingdings" w:hAnsi="Wingdings" w:cs="Wingdings"/>
                <w:color w:val="000000"/>
                <w:szCs w:val="21"/>
              </w:rPr>
            </w:pPr>
            <w:r>
              <w:rPr>
                <w:rFonts w:ascii="Wingdings" w:hAnsi="Wingdings" w:cs="Wingdings"/>
                <w:color w:val="000000"/>
                <w:kern w:val="0"/>
                <w:szCs w:val="21"/>
              </w:rPr>
              <w:t></w:t>
            </w:r>
            <w:r>
              <w:rPr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仓储物流管理：商品流动与仓储管理以及邮件、包裹等的流动管理。</w:t>
            </w:r>
          </w:p>
          <w:p>
            <w:pPr>
              <w:widowControl/>
              <w:ind w:firstLine="420" w:firstLineChars="200"/>
              <w:jc w:val="left"/>
              <w:textAlignment w:val="top"/>
              <w:rPr>
                <w:rFonts w:ascii="Wingdings" w:hAnsi="Wingdings" w:cs="Wingdings"/>
                <w:color w:val="000000"/>
                <w:szCs w:val="21"/>
              </w:rPr>
            </w:pPr>
            <w:r>
              <w:rPr>
                <w:rFonts w:ascii="Wingdings" w:hAnsi="Wingdings" w:cs="Wingdings"/>
                <w:color w:val="000000"/>
                <w:kern w:val="0"/>
                <w:szCs w:val="21"/>
              </w:rPr>
              <w:t></w:t>
            </w:r>
            <w:r>
              <w:rPr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门 禁  管 理：包括车辆与人员的进出管理。</w:t>
            </w:r>
          </w:p>
          <w:p>
            <w:pPr>
              <w:widowControl/>
              <w:ind w:firstLine="420" w:firstLineChars="200"/>
              <w:jc w:val="left"/>
              <w:textAlignment w:val="top"/>
              <w:rPr>
                <w:rFonts w:ascii="Wingdings" w:hAnsi="Wingdings" w:cs="Wingdings"/>
                <w:color w:val="000000"/>
                <w:szCs w:val="21"/>
              </w:rPr>
            </w:pPr>
            <w:r>
              <w:rPr>
                <w:rFonts w:ascii="Wingdings" w:hAnsi="Wingdings" w:cs="Wingdings"/>
                <w:color w:val="000000"/>
                <w:kern w:val="0"/>
                <w:szCs w:val="21"/>
              </w:rPr>
              <w:t></w:t>
            </w:r>
            <w:r>
              <w:rPr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工艺生产流程：在整个生产过程中监控零部件。</w:t>
            </w:r>
          </w:p>
          <w:p>
            <w:pPr>
              <w:widowControl/>
              <w:ind w:firstLine="420" w:firstLineChars="200"/>
              <w:jc w:val="left"/>
              <w:textAlignment w:val="top"/>
              <w:rPr>
                <w:rFonts w:ascii="Wingdings" w:hAnsi="Wingdings" w:cs="Wingdings"/>
                <w:color w:val="000000"/>
                <w:szCs w:val="21"/>
              </w:rPr>
            </w:pPr>
            <w:r>
              <w:rPr>
                <w:rFonts w:ascii="Wingdings" w:hAnsi="Wingdings" w:cs="Wingdings"/>
                <w:color w:val="000000"/>
                <w:kern w:val="0"/>
                <w:szCs w:val="21"/>
              </w:rPr>
              <w:t></w:t>
            </w:r>
            <w:r>
              <w:rPr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设 备  管 理：监控设备的流动情况。</w:t>
            </w:r>
          </w:p>
        </w:tc>
      </w:tr>
    </w:tbl>
    <w:p>
      <w:pPr>
        <w:widowControl/>
        <w:jc w:val="left"/>
        <w:rPr>
          <w:rFonts w:hint="eastAsia" w:ascii="宋体" w:hAnsi="宋体" w:cs="宋体"/>
          <w:color w:val="FF0000"/>
          <w:kern w:val="0"/>
          <w:szCs w:val="21"/>
        </w:rPr>
      </w:pPr>
    </w:p>
    <w:p>
      <w:pPr>
        <w:widowControl/>
        <w:jc w:val="left"/>
        <w:rPr>
          <w:rFonts w:hint="eastAsia" w:ascii="宋体" w:hAnsi="宋体" w:cs="宋体"/>
          <w:color w:val="FF0000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产品参数：</w:t>
      </w:r>
      <w:r>
        <w:rPr>
          <w:rFonts w:hint="eastAsia" w:ascii="宋体" w:hAnsi="宋体" w:cs="宋体"/>
          <w:color w:val="FF0000"/>
          <w:kern w:val="0"/>
          <w:szCs w:val="21"/>
        </w:rPr>
        <w:t xml:space="preserve"> </w:t>
      </w:r>
    </w:p>
    <w:tbl>
      <w:tblPr>
        <w:tblStyle w:val="5"/>
        <w:tblW w:w="87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0"/>
        <w:gridCol w:w="6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76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/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FF"/>
                <w:kern w:val="0"/>
                <w:szCs w:val="21"/>
              </w:rPr>
              <w:t>型号说明：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JT-8290W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232、WIFI、韦根通讯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76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/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FF"/>
                <w:kern w:val="0"/>
                <w:szCs w:val="21"/>
              </w:rPr>
              <w:t>性能参数：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工作频率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szCs w:val="21"/>
              </w:rPr>
            </w:pPr>
            <w:r>
              <w:rPr>
                <w:rStyle w:val="9"/>
                <w:color w:val="auto"/>
              </w:rPr>
              <w:t>902</w:t>
            </w:r>
            <w:r>
              <w:rPr>
                <w:rStyle w:val="8"/>
                <w:rFonts w:hint="default"/>
                <w:color w:val="auto"/>
              </w:rPr>
              <w:t>～</w:t>
            </w:r>
            <w:r>
              <w:rPr>
                <w:rStyle w:val="9"/>
                <w:color w:val="auto"/>
              </w:rPr>
              <w:t xml:space="preserve">928 </w:t>
            </w:r>
            <w:r>
              <w:rPr>
                <w:rStyle w:val="9"/>
                <w:rFonts w:hint="eastAsia"/>
                <w:color w:val="auto"/>
              </w:rPr>
              <w:t>MHZ</w:t>
            </w:r>
            <w:r>
              <w:rPr>
                <w:rStyle w:val="8"/>
                <w:color w:val="auto"/>
              </w:rPr>
              <w:t xml:space="preserve"> 865～868MHZ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支持协议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szCs w:val="21"/>
              </w:rPr>
            </w:pPr>
            <w:r>
              <w:rPr>
                <w:rStyle w:val="9"/>
                <w:color w:val="auto"/>
              </w:rPr>
              <w:t>ISO18000-6C</w:t>
            </w:r>
            <w:r>
              <w:rPr>
                <w:rStyle w:val="9"/>
                <w:rFonts w:hint="eastAsia"/>
                <w:color w:val="auto"/>
              </w:rPr>
              <w:t>或</w:t>
            </w:r>
            <w:r>
              <w:rPr>
                <w:rStyle w:val="9"/>
                <w:color w:val="auto"/>
              </w:rPr>
              <w:t>ISO18000-6</w:t>
            </w:r>
            <w:r>
              <w:rPr>
                <w:rStyle w:val="9"/>
                <w:rFonts w:hint="eastAsia"/>
                <w:color w:val="auto"/>
              </w:rPr>
              <w:t>B</w:t>
            </w:r>
            <w:r>
              <w:rPr>
                <w:rStyle w:val="8"/>
                <w:rFonts w:hint="default"/>
                <w:color w:val="auto"/>
              </w:rPr>
              <w:t>（</w:t>
            </w:r>
            <w:r>
              <w:rPr>
                <w:rStyle w:val="9"/>
                <w:color w:val="auto"/>
              </w:rPr>
              <w:t>EPC C1 GEN2</w:t>
            </w:r>
            <w:r>
              <w:rPr>
                <w:rStyle w:val="8"/>
                <w:rFonts w:hint="default"/>
                <w:color w:val="auto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射频功率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szCs w:val="21"/>
              </w:rPr>
            </w:pPr>
            <w:r>
              <w:rPr>
                <w:rStyle w:val="9"/>
                <w:color w:val="auto"/>
              </w:rPr>
              <w:t>0dBm</w:t>
            </w:r>
            <w:r>
              <w:rPr>
                <w:rStyle w:val="8"/>
                <w:rFonts w:hint="default"/>
                <w:color w:val="auto"/>
              </w:rPr>
              <w:t>～</w:t>
            </w:r>
            <w:r>
              <w:rPr>
                <w:rStyle w:val="9"/>
                <w:color w:val="auto"/>
              </w:rPr>
              <w:t>30dBm(</w:t>
            </w:r>
            <w:r>
              <w:rPr>
                <w:rStyle w:val="8"/>
                <w:rFonts w:hint="default"/>
                <w:color w:val="auto"/>
              </w:rPr>
              <w:t>软件可调</w:t>
            </w:r>
            <w:r>
              <w:rPr>
                <w:rStyle w:val="9"/>
                <w:color w:val="auto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应用软件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提供</w:t>
            </w:r>
            <w:r>
              <w:rPr>
                <w:rFonts w:hint="eastAsia" w:ascii="宋体" w:hAnsi="宋体" w:cs="宋体"/>
                <w:kern w:val="0"/>
                <w:szCs w:val="21"/>
              </w:rPr>
              <w:t>DEMO软件及C#</w:t>
            </w:r>
            <w:r>
              <w:rPr>
                <w:rFonts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VC</w:t>
            </w:r>
            <w:r>
              <w:rPr>
                <w:rFonts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VB、Java、DELPHI</w:t>
            </w:r>
            <w:r>
              <w:rPr>
                <w:rFonts w:ascii="宋体" w:hAnsi="宋体" w:cs="宋体"/>
                <w:kern w:val="0"/>
                <w:szCs w:val="21"/>
              </w:rPr>
              <w:t>开发例程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加密功能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可直接加密，防复制，安全性更高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读取距离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稳定读取</w:t>
            </w:r>
            <w:r>
              <w:rPr>
                <w:rFonts w:hint="eastAsia" w:ascii="宋体" w:hAnsi="宋体" w:cs="宋体"/>
                <w:kern w:val="0"/>
                <w:szCs w:val="21"/>
              </w:rPr>
              <w:t>25M(</w:t>
            </w:r>
            <w:r>
              <w:rPr>
                <w:rFonts w:ascii="宋体" w:hAnsi="宋体" w:cs="宋体"/>
                <w:kern w:val="0"/>
                <w:szCs w:val="21"/>
              </w:rPr>
              <w:t>与标签及环境相关</w:t>
            </w:r>
            <w:r>
              <w:rPr>
                <w:rFonts w:hint="eastAsia" w:ascii="宋体" w:hAnsi="宋体" w:cs="宋体"/>
                <w:kern w:val="0"/>
                <w:szCs w:val="21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工业防雷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Style w:val="8"/>
                <w:color w:val="auto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6000V</w:t>
            </w:r>
            <w:r>
              <w:rPr>
                <w:rFonts w:hint="eastAsia" w:ascii="Calibri" w:hAnsi="Calibri" w:cs="Calibri"/>
                <w:color w:val="000000"/>
                <w:kern w:val="0"/>
                <w:szCs w:val="21"/>
              </w:rPr>
              <w:t>工业级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高压防雷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低温保护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Style w:val="8"/>
                <w:color w:va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东北、西北等极寒地区，加低温处理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调频方式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Style w:val="8"/>
                <w:color w:val="auto"/>
              </w:rPr>
            </w:pPr>
            <w:r>
              <w:rPr>
                <w:rStyle w:val="8"/>
                <w:color w:val="auto"/>
              </w:rPr>
              <w:t>广谱跳频或定频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输入输出接口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szCs w:val="21"/>
              </w:rPr>
            </w:pPr>
            <w:r>
              <w:rPr>
                <w:rStyle w:val="8"/>
                <w:color w:val="auto"/>
              </w:rPr>
              <w:t>2</w:t>
            </w:r>
            <w:r>
              <w:rPr>
                <w:rStyle w:val="8"/>
                <w:rFonts w:hint="default"/>
                <w:color w:val="auto"/>
              </w:rPr>
              <w:t>路继电器输出，</w:t>
            </w:r>
            <w:r>
              <w:rPr>
                <w:rStyle w:val="8"/>
                <w:color w:val="auto"/>
              </w:rPr>
              <w:t>1</w:t>
            </w:r>
            <w:r>
              <w:rPr>
                <w:rStyle w:val="8"/>
                <w:rFonts w:hint="default"/>
                <w:color w:val="auto"/>
              </w:rPr>
              <w:t>路</w:t>
            </w:r>
            <w:r>
              <w:rPr>
                <w:rStyle w:val="8"/>
                <w:color w:val="auto"/>
              </w:rPr>
              <w:t>触发</w:t>
            </w:r>
            <w:r>
              <w:rPr>
                <w:rStyle w:val="8"/>
                <w:rFonts w:hint="default"/>
                <w:color w:val="auto"/>
              </w:rPr>
              <w:t>输入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天线增益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Style w:val="8"/>
                <w:color w:val="auto"/>
              </w:rPr>
            </w:pPr>
            <w:r>
              <w:rPr>
                <w:rStyle w:val="8"/>
                <w:color w:val="auto"/>
              </w:rPr>
              <w:t>12DBI线极化天线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工作方式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Style w:val="8"/>
                <w:color w:val="auto"/>
              </w:rPr>
            </w:pPr>
            <w:r>
              <w:rPr>
                <w:rStyle w:val="8"/>
                <w:color w:val="auto"/>
              </w:rPr>
              <w:t>蜂鸣器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适 配 器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12V/3A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76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/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FF"/>
                <w:kern w:val="0"/>
                <w:szCs w:val="21"/>
              </w:rPr>
              <w:t>物理参数：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产品尺寸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450x450x50mm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重    量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材    料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ABS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工作温度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-40℃~+65℃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存储温度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-45℃~+95℃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20401"/>
    <w:rsid w:val="00320401"/>
    <w:rsid w:val="00A97F8A"/>
    <w:rsid w:val="00AF4C6D"/>
    <w:rsid w:val="00ED0752"/>
    <w:rsid w:val="03D20B56"/>
    <w:rsid w:val="5CD34BCC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  <w:style w:type="character" w:customStyle="1" w:styleId="8">
    <w:name w:val="font31"/>
    <w:basedOn w:val="4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">
    <w:name w:val="font21"/>
    <w:basedOn w:val="4"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613</Characters>
  <Lines>5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2015-07-24T02:30:00Z</dcterms:created>
  <dc:creator>jietongkeji</dc:creator>
  <cp:lastModifiedBy>Administrator</cp:lastModifiedBy>
  <dcterms:modified xsi:type="dcterms:W3CDTF">2015-10-09T10:39:57Z</dcterms:modified>
  <dc:title>JT-8290具有多协议兼容、读取速率快、防水型外观设计, 满足苛刻工作环境要求，全面支持符合ISO-18000-6C（EPC G2）、ISO-18000-6B电子标签；可稳定读取25m(与标签及环境相关)。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