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="1200" w:beforeAutospacing="0" w:after="750" w:afterAutospacing="0" w:line="390" w:lineRule="atLeast"/>
        <w:ind w:left="0" w:right="0"/>
        <w:jc w:val="center"/>
      </w:pPr>
      <w:bookmarkStart w:id="0" w:name="_GoBack"/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instrText xml:space="preserve">INCLUDEPICTURE \d "http://szjtkj.gz005.qebang.cn/up/image/201509/20150917132077477747.jpg" \* MERGEFORMATINET </w:instrText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separate"/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  <w:lang w:val="en-US" w:eastAsia="zh-CN" w:bidi="ar-SA"/>
        </w:rPr>
        <w:pict>
          <v:shape id="图片 1025" o:spid="_x0000_s1026" type="#_x0000_t75" style="height:396pt;width:143.25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end"/>
      </w:r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本产品具有多协议兼容、读取速率快、防水型外观设计, 满足苛刻工作环境要求，全面支持符合ISO-18000-6C（EPC G2）、ISO-18000-6B电子标签；体积小、重量轻、便于安装。可稳定读取5m(与标签及环境相关)。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8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kern w:val="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运输车辆管理：对机动车辆和集装箱运输的监控与管理。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海关通关管理：海关通关、转关的物资管理。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仓储物流管理：商品流动与仓储管理以及邮件、包裹等的流动管理。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 禁  管 理：包括车辆与人员的进出管理。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工艺生产流程：在整个生产过程中监控零部件。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 备  管 理：监控设备的流动情况。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8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JT-8280W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232、WIFI、韦根通讯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902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 xml:space="preserve">928 </w:t>
            </w:r>
            <w:r>
              <w:rPr>
                <w:rStyle w:val="12"/>
                <w:rFonts w:hint="eastAsia"/>
                <w:color w:val="auto"/>
              </w:rPr>
              <w:t>MHZ</w:t>
            </w:r>
            <w:r>
              <w:rPr>
                <w:rStyle w:val="11"/>
                <w:rFonts w:hint="default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ISO18000-6C</w:t>
            </w:r>
            <w:r>
              <w:rPr>
                <w:rStyle w:val="12"/>
                <w:rFonts w:hint="eastAsia"/>
                <w:color w:val="auto"/>
              </w:rPr>
              <w:t>或</w:t>
            </w:r>
            <w:r>
              <w:rPr>
                <w:rStyle w:val="12"/>
                <w:color w:val="auto"/>
              </w:rPr>
              <w:t>ISO18000-6</w:t>
            </w:r>
            <w:r>
              <w:rPr>
                <w:rStyle w:val="12"/>
                <w:rFonts w:hint="eastAsia"/>
                <w:color w:val="auto"/>
              </w:rPr>
              <w:t>B</w:t>
            </w:r>
            <w:r>
              <w:rPr>
                <w:rStyle w:val="11"/>
                <w:rFonts w:hint="default"/>
              </w:rPr>
              <w:t>（</w:t>
            </w:r>
            <w:r>
              <w:rPr>
                <w:rStyle w:val="12"/>
                <w:color w:val="auto"/>
              </w:rPr>
              <w:t>EPC C1 GEN2</w:t>
            </w:r>
            <w:r>
              <w:rPr>
                <w:rStyle w:val="11"/>
                <w:rFonts w:hint="default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0dBm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>30dBm(</w:t>
            </w:r>
            <w:r>
              <w:rPr>
                <w:rStyle w:val="11"/>
                <w:rFonts w:hint="default"/>
              </w:rPr>
              <w:t>软件可调</w:t>
            </w:r>
            <w:r>
              <w:rPr>
                <w:rStyle w:val="12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VB、Java、DELPHI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5M(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rFonts w:hint="default"/>
              </w:rPr>
              <w:t>2路继电器输出和1路触发输入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8DBI圆极化天线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蜂鸣器和LED灯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220220x50mm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5DFE"/>
    <w:rsid w:val="00110988"/>
    <w:rsid w:val="00645B0E"/>
    <w:rsid w:val="007A4398"/>
    <w:rsid w:val="00865DFE"/>
    <w:rsid w:val="00DE5D17"/>
    <w:rsid w:val="00ED0752"/>
    <w:rsid w:val="59275BDB"/>
    <w:rsid w:val="6449089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FollowedHyperlink"/>
    <w:basedOn w:val="5"/>
    <w:unhideWhenUsed/>
    <w:uiPriority w:val="0"/>
    <w:rPr>
      <w:color w:val="333333"/>
      <w:u w:val="none"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news-list-text"/>
    <w:basedOn w:val="5"/>
    <w:uiPriority w:val="0"/>
    <w:rPr/>
  </w:style>
  <w:style w:type="character" w:customStyle="1" w:styleId="14">
    <w:name w:val="news-list-text1"/>
    <w:basedOn w:val="5"/>
    <w:uiPriority w:val="0"/>
    <w:rPr>
      <w:color w:val="0669C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2015-07-24T05:41:00Z</dcterms:created>
  <dc:creator>jietongkeji</dc:creator>
  <cp:lastModifiedBy>Administrator</cp:lastModifiedBy>
  <dcterms:modified xsi:type="dcterms:W3CDTF">2015-10-10T06:23:40Z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