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3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7200-1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7200-2" r:id="rId6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8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7200-3" r:id="rId7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  <w:r>
        <w:rPr>
          <w:rFonts w:hint="eastAsia" w:ascii="宋体" w:hAnsi="宋体" w:cs="宋体"/>
          <w:kern w:val="0"/>
          <w:szCs w:val="21"/>
        </w:rPr>
        <w:t>产品简介：</w:t>
      </w:r>
    </w:p>
    <w:p>
      <w:pPr>
        <w:widowControl/>
        <w:numPr>
          <w:ilvl w:val="0"/>
          <w:numId w:val="1"/>
        </w:numPr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RS232和RS485输出并存，方便RS485组网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2、6000V工业极防雷</w:t>
      </w:r>
    </w:p>
    <w:p>
      <w:pPr>
        <w:widowControl/>
        <w:numPr>
          <w:ilvl w:val="0"/>
          <w:numId w:val="2"/>
        </w:numPr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读卡速率超快</w:t>
      </w:r>
    </w:p>
    <w:p>
      <w:pPr>
        <w:widowControl/>
        <w:numPr>
          <w:ilvl w:val="0"/>
          <w:numId w:val="2"/>
        </w:numPr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广泛应用AGV无人小车</w:t>
      </w:r>
    </w:p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产品特性：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74" w:hRule="atLeast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numPr>
                <w:ilvl w:val="0"/>
                <w:numId w:val="3"/>
              </w:numPr>
              <w:ind w:left="420" w:leftChars="0" w:hanging="420" w:firstLineChars="0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IP65的工业设计； </w:t>
            </w:r>
          </w:p>
          <w:p>
            <w:pPr>
              <w:widowControl/>
              <w:numPr>
                <w:ilvl w:val="0"/>
                <w:numId w:val="3"/>
              </w:numPr>
              <w:ind w:left="420" w:leftChars="0" w:hanging="420" w:firstLineChars="0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耐冲击、防腐蚀，适合恶劣工业环境；  </w:t>
            </w:r>
          </w:p>
          <w:p>
            <w:pPr>
              <w:widowControl/>
              <w:numPr>
                <w:ilvl w:val="0"/>
                <w:numId w:val="3"/>
              </w:numPr>
              <w:ind w:left="420" w:leftChars="0" w:hanging="420" w:firstLineChars="0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支持RS485总线，组网方便；</w:t>
            </w:r>
          </w:p>
          <w:p>
            <w:pPr>
              <w:widowControl/>
              <w:numPr>
                <w:ilvl w:val="0"/>
                <w:numId w:val="3"/>
              </w:numPr>
              <w:ind w:left="420" w:leftChars="0" w:hanging="420" w:firstLineChars="0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适用于AGV小车的轨道路径指引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5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4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Cambria" w:hAnsi="Cambria" w:cs="Cambria"/>
                <w:b w:val="0"/>
                <w:bCs/>
                <w:color w:val="0000FF"/>
                <w:szCs w:val="21"/>
              </w:rPr>
            </w:pPr>
            <w:r>
              <w:rPr>
                <w:rFonts w:hint="eastAsia" w:ascii="Cambria" w:hAnsi="Cambria" w:cs="Cambria"/>
                <w:b w:val="0"/>
                <w:bCs/>
                <w:color w:val="0000FF"/>
                <w:szCs w:val="21"/>
              </w:rPr>
              <w:t>性能参数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工作频率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928 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MHZ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3dBi(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圆极化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支持协议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ISO18000-6C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EPC C1 GEN2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测试软件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提供自动写卡、读卡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DEMO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软件，方便客户发卡和写卡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 发 包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SDK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开发包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并提供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C#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VC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VB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Java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Delphi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数据输出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RS232、RS485并存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工业级防雷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6000V工业级高压防雷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读取距离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读取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JT-301(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远距离白卡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距离：约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60cm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读取距离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读取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JT-330(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圆形地标标签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距离：约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15cm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4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物理参数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  压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DC12~28V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输出功率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1dBm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℃～+75℃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存储温度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℃～+85℃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    寸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132x68x50mm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    量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外壳尺寸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固定孔径</w:t>
            </w:r>
          </w:p>
        </w:tc>
        <w:tc>
          <w:tcPr>
            <w:tcW w:w="57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φ6mm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1100502">
    <w:nsid w:val="55E572D6"/>
    <w:multiLevelType w:val="singleLevel"/>
    <w:tmpl w:val="55E572D6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435221593">
    <w:nsid w:val="558BBE59"/>
    <w:multiLevelType w:val="singleLevel"/>
    <w:tmpl w:val="558BBE59"/>
    <w:lvl w:ilvl="0" w:tentative="1">
      <w:start w:val="3"/>
      <w:numFmt w:val="decimal"/>
      <w:suff w:val="nothing"/>
      <w:lvlText w:val="%1、"/>
      <w:lvlJc w:val="left"/>
    </w:lvl>
  </w:abstractNum>
  <w:abstractNum w:abstractNumId="1435221523">
    <w:nsid w:val="558BBE13"/>
    <w:multiLevelType w:val="singleLevel"/>
    <w:tmpl w:val="558BBE13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35221523"/>
  </w:num>
  <w:num w:numId="2">
    <w:abstractNumId w:val="1435221593"/>
  </w:num>
  <w:num w:numId="3">
    <w:abstractNumId w:val="14411005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64766"/>
    <w:rsid w:val="00064766"/>
    <w:rsid w:val="006D074F"/>
    <w:rsid w:val="00ED0752"/>
    <w:rsid w:val="28A41BEF"/>
    <w:rsid w:val="306A4C0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Lines>3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2015-07-24T06:15:00Z</dcterms:created>
  <dc:creator>jietongkeji</dc:creator>
  <cp:lastModifiedBy>Administrator</cp:lastModifiedBy>
  <dcterms:modified xsi:type="dcterms:W3CDTF">2015-10-10T07:14:25Z</dcterms:modified>
  <dc:title>产品简介：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